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0CE2A">
      <w:pPr>
        <w:pStyle w:val="2"/>
        <w:jc w:val="center"/>
        <w:rPr>
          <w:rFonts w:hint="eastAsia" w:ascii="方正小标宋_GBK" w:hAnsi="方正小标宋_GBK" w:eastAsia="方正小标宋_GBK"/>
          <w:b w:val="0"/>
          <w:bCs w:val="0"/>
          <w:sz w:val="30"/>
        </w:rPr>
      </w:pPr>
      <w:bookmarkStart w:id="0" w:name="_GoBack"/>
      <w:bookmarkEnd w:id="0"/>
      <w:r>
        <w:rPr>
          <w:rFonts w:hint="eastAsia" w:ascii="方正小标宋_GBK" w:hAnsi="方正小标宋_GBK" w:eastAsia="方正小标宋_GBK"/>
          <w:b w:val="0"/>
          <w:bCs w:val="0"/>
          <w:sz w:val="30"/>
        </w:rPr>
        <w:t>（十六）农村危房改造领域基层政务公开标准目录</w:t>
      </w:r>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14:paraId="0CC4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3D121A3B">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shd w:val="clear" w:color="auto" w:fill="auto"/>
            <w:vAlign w:val="center"/>
          </w:tcPr>
          <w:p w14:paraId="0E2A59F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shd w:val="clear" w:color="auto" w:fill="auto"/>
            <w:vAlign w:val="center"/>
          </w:tcPr>
          <w:p w14:paraId="409597D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shd w:val="clear" w:color="auto" w:fill="auto"/>
            <w:vAlign w:val="center"/>
          </w:tcPr>
          <w:p w14:paraId="6F0BF37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shd w:val="clear" w:color="auto" w:fill="auto"/>
            <w:vAlign w:val="center"/>
          </w:tcPr>
          <w:p w14:paraId="0FD4DC6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shd w:val="clear" w:color="auto" w:fill="auto"/>
            <w:vAlign w:val="center"/>
          </w:tcPr>
          <w:p w14:paraId="4B2DD75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shd w:val="clear" w:color="auto" w:fill="auto"/>
            <w:vAlign w:val="center"/>
          </w:tcPr>
          <w:p w14:paraId="13AED061">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10135E1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21B15F9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5C66861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02F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BC7B374">
            <w:pPr>
              <w:widowControl/>
              <w:jc w:val="left"/>
              <w:rPr>
                <w:rFonts w:ascii="Times New Roman" w:hAnsi="Times New Roman"/>
                <w:color w:val="000000"/>
                <w:kern w:val="0"/>
                <w:sz w:val="22"/>
              </w:rPr>
            </w:pPr>
          </w:p>
        </w:tc>
        <w:tc>
          <w:tcPr>
            <w:tcW w:w="900" w:type="dxa"/>
            <w:shd w:val="clear" w:color="auto" w:fill="auto"/>
            <w:vAlign w:val="center"/>
          </w:tcPr>
          <w:p w14:paraId="7811F95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shd w:val="clear" w:color="auto" w:fill="auto"/>
            <w:vAlign w:val="center"/>
          </w:tcPr>
          <w:p w14:paraId="39691F3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vAlign w:val="center"/>
          </w:tcPr>
          <w:p w14:paraId="18F350CF">
            <w:pPr>
              <w:widowControl/>
              <w:jc w:val="left"/>
              <w:rPr>
                <w:rFonts w:ascii="黑体" w:hAnsi="宋体" w:eastAsia="黑体" w:cs="宋体"/>
                <w:color w:val="000000"/>
                <w:kern w:val="0"/>
                <w:sz w:val="22"/>
              </w:rPr>
            </w:pPr>
          </w:p>
        </w:tc>
        <w:tc>
          <w:tcPr>
            <w:tcW w:w="1800" w:type="dxa"/>
            <w:vMerge w:val="continue"/>
            <w:vAlign w:val="center"/>
          </w:tcPr>
          <w:p w14:paraId="575EA344">
            <w:pPr>
              <w:widowControl/>
              <w:jc w:val="left"/>
              <w:rPr>
                <w:rFonts w:ascii="黑体" w:hAnsi="宋体" w:eastAsia="黑体" w:cs="宋体"/>
                <w:color w:val="000000"/>
                <w:kern w:val="0"/>
                <w:sz w:val="22"/>
              </w:rPr>
            </w:pPr>
          </w:p>
        </w:tc>
        <w:tc>
          <w:tcPr>
            <w:tcW w:w="1402" w:type="dxa"/>
            <w:vMerge w:val="continue"/>
            <w:vAlign w:val="center"/>
          </w:tcPr>
          <w:p w14:paraId="77516EAA">
            <w:pPr>
              <w:widowControl/>
              <w:jc w:val="left"/>
              <w:rPr>
                <w:rFonts w:ascii="黑体" w:hAnsi="宋体" w:eastAsia="黑体" w:cs="宋体"/>
                <w:color w:val="000000"/>
                <w:kern w:val="0"/>
                <w:sz w:val="22"/>
              </w:rPr>
            </w:pPr>
          </w:p>
        </w:tc>
        <w:tc>
          <w:tcPr>
            <w:tcW w:w="1440" w:type="dxa"/>
            <w:vMerge w:val="continue"/>
            <w:vAlign w:val="center"/>
          </w:tcPr>
          <w:p w14:paraId="203492A1">
            <w:pPr>
              <w:widowControl/>
              <w:jc w:val="left"/>
              <w:rPr>
                <w:rFonts w:ascii="黑体" w:hAnsi="宋体" w:eastAsia="黑体" w:cs="宋体"/>
                <w:color w:val="000000"/>
                <w:kern w:val="0"/>
                <w:sz w:val="22"/>
              </w:rPr>
            </w:pPr>
          </w:p>
        </w:tc>
        <w:tc>
          <w:tcPr>
            <w:tcW w:w="2018" w:type="dxa"/>
            <w:vMerge w:val="continue"/>
            <w:vAlign w:val="center"/>
          </w:tcPr>
          <w:p w14:paraId="042052B5">
            <w:pPr>
              <w:widowControl/>
              <w:jc w:val="left"/>
              <w:rPr>
                <w:rFonts w:ascii="黑体" w:hAnsi="宋体" w:eastAsia="黑体" w:cs="宋体"/>
                <w:kern w:val="0"/>
                <w:sz w:val="22"/>
              </w:rPr>
            </w:pPr>
          </w:p>
        </w:tc>
        <w:tc>
          <w:tcPr>
            <w:tcW w:w="720" w:type="dxa"/>
            <w:shd w:val="clear" w:color="auto" w:fill="auto"/>
            <w:vAlign w:val="center"/>
          </w:tcPr>
          <w:p w14:paraId="72417B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3D96A76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54F9FBB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6BB24A7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3BCAB10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5C5C091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F038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2BEC83F">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shd w:val="clear" w:color="auto" w:fill="auto"/>
            <w:vAlign w:val="center"/>
          </w:tcPr>
          <w:p w14:paraId="52AE53A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shd w:val="clear" w:color="auto" w:fill="auto"/>
            <w:vAlign w:val="center"/>
          </w:tcPr>
          <w:p w14:paraId="488A68C1">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vAlign w:val="center"/>
          </w:tcPr>
          <w:p w14:paraId="1BCAF5A4">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vAlign w:val="center"/>
          </w:tcPr>
          <w:p w14:paraId="069BD3FA">
            <w:pPr>
              <w:widowControl/>
              <w:rPr>
                <w:rFonts w:ascii="黑体" w:hAnsi="宋体" w:eastAsia="黑体" w:cs="宋体"/>
                <w:color w:val="000000"/>
                <w:kern w:val="0"/>
                <w:sz w:val="22"/>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、《关于全面推进政务公开工作的意见》及其实施细则</w:t>
            </w:r>
          </w:p>
        </w:tc>
        <w:tc>
          <w:tcPr>
            <w:tcW w:w="1402" w:type="dxa"/>
            <w:vAlign w:val="center"/>
          </w:tcPr>
          <w:p w14:paraId="5DB46156">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vAlign w:val="center"/>
          </w:tcPr>
          <w:p w14:paraId="493FDCC0">
            <w:pPr>
              <w:widowControl/>
              <w:rPr>
                <w:rFonts w:ascii="黑体" w:hAnsi="宋体" w:eastAsia="黑体" w:cs="宋体"/>
                <w:color w:val="000000"/>
                <w:kern w:val="0"/>
                <w:sz w:val="22"/>
              </w:rPr>
            </w:pPr>
            <w:r>
              <w:rPr>
                <w:rFonts w:hint="eastAsia" w:ascii="仿宋_GB2312" w:hAnsi="宋体" w:eastAsia="仿宋_GB2312"/>
                <w:color w:val="000000"/>
                <w:sz w:val="18"/>
                <w:szCs w:val="18"/>
              </w:rPr>
              <w:t>住房和城乡建设等相关职能部门</w:t>
            </w:r>
          </w:p>
        </w:tc>
        <w:tc>
          <w:tcPr>
            <w:tcW w:w="2018" w:type="dxa"/>
            <w:vAlign w:val="center"/>
          </w:tcPr>
          <w:p w14:paraId="0BE155E2">
            <w:pPr>
              <w:widowControl/>
              <w:rPr>
                <w:rFonts w:ascii="黑体" w:hAnsi="宋体" w:eastAsia="黑体" w:cs="宋体"/>
                <w:kern w:val="0"/>
                <w:sz w:val="22"/>
              </w:rPr>
            </w:pPr>
            <w:r>
              <w:rPr>
                <w:rFonts w:hint="eastAsia" w:ascii="仿宋_GB2312" w:hAnsi="宋体" w:eastAsia="仿宋_GB2312"/>
                <w:color w:val="000000"/>
                <w:sz w:val="18"/>
                <w:szCs w:val="18"/>
              </w:rPr>
              <w:t>政府门户网站、政务新媒体、广播、电视、报纸、公示栏等平台和办事大厅、便民服务窗口等场所</w:t>
            </w:r>
          </w:p>
        </w:tc>
        <w:tc>
          <w:tcPr>
            <w:tcW w:w="720" w:type="dxa"/>
            <w:shd w:val="clear" w:color="auto" w:fill="auto"/>
            <w:vAlign w:val="center"/>
          </w:tcPr>
          <w:p w14:paraId="440B21B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33E0102B">
            <w:pPr>
              <w:jc w:val="center"/>
              <w:rPr>
                <w:rFonts w:hint="eastAsia" w:ascii="仿宋_GB2312" w:hAnsi="宋体" w:eastAsia="仿宋_GB2312"/>
                <w:color w:val="000000"/>
                <w:sz w:val="18"/>
                <w:szCs w:val="18"/>
              </w:rPr>
            </w:pPr>
          </w:p>
        </w:tc>
        <w:tc>
          <w:tcPr>
            <w:tcW w:w="551" w:type="dxa"/>
            <w:shd w:val="clear" w:color="auto" w:fill="auto"/>
            <w:vAlign w:val="center"/>
          </w:tcPr>
          <w:p w14:paraId="1196B87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A4EC096">
            <w:pPr>
              <w:jc w:val="center"/>
              <w:rPr>
                <w:rFonts w:hint="eastAsia" w:ascii="仿宋_GB2312" w:hAnsi="宋体" w:eastAsia="仿宋_GB2312"/>
                <w:color w:val="000000"/>
                <w:sz w:val="18"/>
                <w:szCs w:val="18"/>
              </w:rPr>
            </w:pPr>
          </w:p>
        </w:tc>
        <w:tc>
          <w:tcPr>
            <w:tcW w:w="720" w:type="dxa"/>
            <w:shd w:val="clear" w:color="auto" w:fill="auto"/>
            <w:vAlign w:val="center"/>
          </w:tcPr>
          <w:p w14:paraId="1BEDB28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508D97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28CD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vAlign w:val="center"/>
          </w:tcPr>
          <w:p w14:paraId="7B171A56">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2</w:t>
            </w:r>
          </w:p>
        </w:tc>
        <w:tc>
          <w:tcPr>
            <w:tcW w:w="900" w:type="dxa"/>
            <w:vMerge w:val="restart"/>
            <w:shd w:val="clear" w:color="auto" w:fill="auto"/>
            <w:vAlign w:val="center"/>
          </w:tcPr>
          <w:p w14:paraId="427BE8D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shd w:val="clear" w:color="auto" w:fill="auto"/>
            <w:vAlign w:val="center"/>
          </w:tcPr>
          <w:p w14:paraId="5F28917D">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980" w:type="dxa"/>
            <w:vMerge w:val="restart"/>
            <w:vAlign w:val="center"/>
          </w:tcPr>
          <w:p w14:paraId="17A191D4">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1800" w:type="dxa"/>
            <w:vMerge w:val="restart"/>
            <w:vAlign w:val="center"/>
          </w:tcPr>
          <w:p w14:paraId="7C90A5D1">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、《关于全面推进政务公开工作的意见》及其实施细则</w:t>
            </w:r>
          </w:p>
        </w:tc>
        <w:tc>
          <w:tcPr>
            <w:tcW w:w="1402" w:type="dxa"/>
            <w:vMerge w:val="restart"/>
            <w:vAlign w:val="center"/>
          </w:tcPr>
          <w:p w14:paraId="627D68B9">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vAlign w:val="center"/>
          </w:tcPr>
          <w:p w14:paraId="7675BB47">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住房和城乡建设等相关职能部门</w:t>
            </w:r>
          </w:p>
        </w:tc>
        <w:tc>
          <w:tcPr>
            <w:tcW w:w="2018" w:type="dxa"/>
            <w:vMerge w:val="restart"/>
            <w:vAlign w:val="center"/>
          </w:tcPr>
          <w:p w14:paraId="2E961768">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政府门户网站、政务新媒体、广播、电视、报纸、公示栏等平台和办事大厅、便民服务窗口等场所</w:t>
            </w:r>
          </w:p>
        </w:tc>
        <w:tc>
          <w:tcPr>
            <w:tcW w:w="720" w:type="dxa"/>
            <w:vMerge w:val="restart"/>
            <w:shd w:val="clear" w:color="auto" w:fill="auto"/>
            <w:vAlign w:val="center"/>
          </w:tcPr>
          <w:p w14:paraId="60A0620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4D668842">
            <w:pPr>
              <w:jc w:val="center"/>
              <w:rPr>
                <w:rFonts w:hint="eastAsia" w:ascii="仿宋_GB2312" w:hAnsi="宋体" w:eastAsia="仿宋_GB2312"/>
                <w:color w:val="000000"/>
                <w:sz w:val="18"/>
                <w:szCs w:val="18"/>
              </w:rPr>
            </w:pPr>
          </w:p>
        </w:tc>
        <w:tc>
          <w:tcPr>
            <w:tcW w:w="551" w:type="dxa"/>
            <w:vMerge w:val="restart"/>
            <w:shd w:val="clear" w:color="auto" w:fill="auto"/>
            <w:vAlign w:val="center"/>
          </w:tcPr>
          <w:p w14:paraId="064F5E8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33E8D55E">
            <w:pPr>
              <w:jc w:val="center"/>
              <w:rPr>
                <w:rFonts w:hint="eastAsia" w:ascii="仿宋_GB2312" w:hAnsi="宋体" w:eastAsia="仿宋_GB2312"/>
                <w:color w:val="000000"/>
                <w:sz w:val="18"/>
                <w:szCs w:val="18"/>
              </w:rPr>
            </w:pPr>
          </w:p>
        </w:tc>
        <w:tc>
          <w:tcPr>
            <w:tcW w:w="720" w:type="dxa"/>
            <w:vMerge w:val="restart"/>
            <w:shd w:val="clear" w:color="auto" w:fill="auto"/>
            <w:vAlign w:val="center"/>
          </w:tcPr>
          <w:p w14:paraId="289BCB5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483D2F6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5BD4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7D647A8">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3</w:t>
            </w:r>
          </w:p>
        </w:tc>
        <w:tc>
          <w:tcPr>
            <w:tcW w:w="900" w:type="dxa"/>
            <w:vMerge w:val="continue"/>
            <w:shd w:val="clear" w:color="auto" w:fill="auto"/>
            <w:vAlign w:val="center"/>
          </w:tcPr>
          <w:p w14:paraId="3F660616">
            <w:pPr>
              <w:jc w:val="center"/>
              <w:rPr>
                <w:rFonts w:hint="eastAsia" w:ascii="仿宋_GB2312" w:hAnsi="宋体" w:eastAsia="仿宋_GB2312"/>
                <w:color w:val="000000"/>
                <w:sz w:val="18"/>
                <w:szCs w:val="18"/>
              </w:rPr>
            </w:pPr>
          </w:p>
        </w:tc>
        <w:tc>
          <w:tcPr>
            <w:tcW w:w="1260" w:type="dxa"/>
            <w:shd w:val="clear" w:color="auto" w:fill="auto"/>
            <w:vAlign w:val="center"/>
          </w:tcPr>
          <w:p w14:paraId="6098CFCB">
            <w:pPr>
              <w:rPr>
                <w:rFonts w:hint="eastAsia"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980" w:type="dxa"/>
            <w:vMerge w:val="continue"/>
            <w:vAlign w:val="center"/>
          </w:tcPr>
          <w:p w14:paraId="3610EB51">
            <w:pPr>
              <w:widowControl/>
              <w:rPr>
                <w:rFonts w:hint="eastAsia" w:ascii="仿宋_GB2312" w:hAnsi="宋体" w:eastAsia="仿宋_GB2312"/>
                <w:color w:val="000000"/>
                <w:sz w:val="18"/>
                <w:szCs w:val="18"/>
              </w:rPr>
            </w:pPr>
          </w:p>
        </w:tc>
        <w:tc>
          <w:tcPr>
            <w:tcW w:w="1800" w:type="dxa"/>
            <w:vMerge w:val="continue"/>
            <w:vAlign w:val="center"/>
          </w:tcPr>
          <w:p w14:paraId="17438C75">
            <w:pPr>
              <w:widowControl/>
              <w:rPr>
                <w:rFonts w:hint="eastAsia" w:ascii="仿宋_GB2312" w:hAnsi="宋体" w:eastAsia="仿宋_GB2312"/>
                <w:color w:val="000000"/>
                <w:sz w:val="18"/>
                <w:szCs w:val="18"/>
              </w:rPr>
            </w:pPr>
          </w:p>
        </w:tc>
        <w:tc>
          <w:tcPr>
            <w:tcW w:w="1402" w:type="dxa"/>
            <w:vMerge w:val="continue"/>
            <w:vAlign w:val="center"/>
          </w:tcPr>
          <w:p w14:paraId="145969B3">
            <w:pPr>
              <w:widowControl/>
              <w:rPr>
                <w:rFonts w:hint="eastAsia" w:ascii="仿宋_GB2312" w:hAnsi="宋体" w:eastAsia="仿宋_GB2312"/>
                <w:color w:val="000000"/>
                <w:sz w:val="18"/>
                <w:szCs w:val="18"/>
              </w:rPr>
            </w:pPr>
          </w:p>
        </w:tc>
        <w:tc>
          <w:tcPr>
            <w:tcW w:w="1440" w:type="dxa"/>
            <w:vMerge w:val="continue"/>
            <w:vAlign w:val="center"/>
          </w:tcPr>
          <w:p w14:paraId="7522D174">
            <w:pPr>
              <w:widowControl/>
              <w:rPr>
                <w:rFonts w:hint="eastAsia" w:ascii="仿宋_GB2312" w:hAnsi="宋体" w:eastAsia="仿宋_GB2312"/>
                <w:color w:val="000000"/>
                <w:sz w:val="18"/>
                <w:szCs w:val="18"/>
              </w:rPr>
            </w:pPr>
          </w:p>
        </w:tc>
        <w:tc>
          <w:tcPr>
            <w:tcW w:w="2018" w:type="dxa"/>
            <w:vMerge w:val="continue"/>
            <w:vAlign w:val="center"/>
          </w:tcPr>
          <w:p w14:paraId="44EB67A0">
            <w:pPr>
              <w:widowControl/>
              <w:rPr>
                <w:rFonts w:hint="eastAsia" w:ascii="仿宋_GB2312" w:hAnsi="宋体" w:eastAsia="仿宋_GB2312"/>
                <w:color w:val="000000"/>
                <w:sz w:val="18"/>
                <w:szCs w:val="18"/>
              </w:rPr>
            </w:pPr>
          </w:p>
        </w:tc>
        <w:tc>
          <w:tcPr>
            <w:tcW w:w="720" w:type="dxa"/>
            <w:vMerge w:val="continue"/>
            <w:shd w:val="clear" w:color="auto" w:fill="auto"/>
            <w:vAlign w:val="center"/>
          </w:tcPr>
          <w:p w14:paraId="70A3DF71">
            <w:pPr>
              <w:jc w:val="center"/>
              <w:rPr>
                <w:rFonts w:hint="eastAsia" w:ascii="仿宋_GB2312" w:hAnsi="宋体" w:eastAsia="仿宋_GB2312"/>
                <w:color w:val="000000"/>
                <w:sz w:val="18"/>
                <w:szCs w:val="18"/>
              </w:rPr>
            </w:pPr>
          </w:p>
        </w:tc>
        <w:tc>
          <w:tcPr>
            <w:tcW w:w="709" w:type="dxa"/>
            <w:vMerge w:val="continue"/>
            <w:shd w:val="clear" w:color="auto" w:fill="auto"/>
            <w:vAlign w:val="center"/>
          </w:tcPr>
          <w:p w14:paraId="399D7C49">
            <w:pPr>
              <w:jc w:val="center"/>
              <w:rPr>
                <w:rFonts w:hint="eastAsia" w:ascii="仿宋_GB2312" w:hAnsi="宋体" w:eastAsia="仿宋_GB2312"/>
                <w:color w:val="000000"/>
                <w:sz w:val="18"/>
                <w:szCs w:val="18"/>
              </w:rPr>
            </w:pPr>
          </w:p>
        </w:tc>
        <w:tc>
          <w:tcPr>
            <w:tcW w:w="551" w:type="dxa"/>
            <w:vMerge w:val="continue"/>
            <w:shd w:val="clear" w:color="auto" w:fill="auto"/>
            <w:vAlign w:val="center"/>
          </w:tcPr>
          <w:p w14:paraId="0D84E4CD">
            <w:pPr>
              <w:jc w:val="center"/>
              <w:rPr>
                <w:rFonts w:hint="eastAsia" w:ascii="仿宋_GB2312" w:hAnsi="宋体" w:eastAsia="仿宋_GB2312"/>
                <w:color w:val="000000"/>
                <w:sz w:val="18"/>
                <w:szCs w:val="18"/>
              </w:rPr>
            </w:pPr>
          </w:p>
        </w:tc>
        <w:tc>
          <w:tcPr>
            <w:tcW w:w="720" w:type="dxa"/>
            <w:vMerge w:val="continue"/>
            <w:shd w:val="clear" w:color="auto" w:fill="auto"/>
            <w:vAlign w:val="center"/>
          </w:tcPr>
          <w:p w14:paraId="55F65AB4">
            <w:pPr>
              <w:jc w:val="center"/>
              <w:rPr>
                <w:rFonts w:hint="eastAsia" w:ascii="仿宋_GB2312" w:hAnsi="宋体" w:eastAsia="仿宋_GB2312"/>
                <w:color w:val="000000"/>
                <w:sz w:val="18"/>
                <w:szCs w:val="18"/>
              </w:rPr>
            </w:pPr>
          </w:p>
        </w:tc>
        <w:tc>
          <w:tcPr>
            <w:tcW w:w="720" w:type="dxa"/>
            <w:vMerge w:val="continue"/>
            <w:shd w:val="clear" w:color="auto" w:fill="auto"/>
            <w:vAlign w:val="center"/>
          </w:tcPr>
          <w:p w14:paraId="3E12323E">
            <w:pPr>
              <w:jc w:val="center"/>
              <w:rPr>
                <w:rFonts w:hint="eastAsia" w:ascii="仿宋_GB2312" w:hAnsi="宋体" w:eastAsia="仿宋_GB2312"/>
                <w:color w:val="000000"/>
                <w:sz w:val="18"/>
                <w:szCs w:val="18"/>
              </w:rPr>
            </w:pPr>
          </w:p>
        </w:tc>
        <w:tc>
          <w:tcPr>
            <w:tcW w:w="720" w:type="dxa"/>
            <w:vMerge w:val="continue"/>
            <w:shd w:val="clear" w:color="auto" w:fill="auto"/>
            <w:vAlign w:val="center"/>
          </w:tcPr>
          <w:p w14:paraId="47585DEC">
            <w:pPr>
              <w:jc w:val="center"/>
              <w:rPr>
                <w:rFonts w:hint="eastAsia" w:ascii="仿宋_GB2312" w:hAnsi="宋体" w:eastAsia="仿宋_GB2312"/>
                <w:color w:val="000000"/>
                <w:sz w:val="18"/>
                <w:szCs w:val="18"/>
              </w:rPr>
            </w:pPr>
          </w:p>
        </w:tc>
      </w:tr>
      <w:tr w14:paraId="3A88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8B75ED9">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4</w:t>
            </w:r>
          </w:p>
        </w:tc>
        <w:tc>
          <w:tcPr>
            <w:tcW w:w="900" w:type="dxa"/>
            <w:vMerge w:val="restart"/>
            <w:shd w:val="clear" w:color="auto" w:fill="auto"/>
            <w:vAlign w:val="center"/>
          </w:tcPr>
          <w:p w14:paraId="0ADB0C6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shd w:val="clear" w:color="auto" w:fill="auto"/>
            <w:vAlign w:val="center"/>
          </w:tcPr>
          <w:p w14:paraId="3CD8B6D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任务分配</w:t>
            </w:r>
          </w:p>
        </w:tc>
        <w:tc>
          <w:tcPr>
            <w:tcW w:w="1980" w:type="dxa"/>
            <w:vAlign w:val="center"/>
          </w:tcPr>
          <w:p w14:paraId="160B9A62">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及时公开农村危房改造补助农户名单</w:t>
            </w:r>
          </w:p>
        </w:tc>
        <w:tc>
          <w:tcPr>
            <w:tcW w:w="1800" w:type="dxa"/>
            <w:vMerge w:val="restart"/>
            <w:vAlign w:val="center"/>
          </w:tcPr>
          <w:p w14:paraId="52172596">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vAlign w:val="center"/>
          </w:tcPr>
          <w:p w14:paraId="450ECE33">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分配结果确定后20个工作日内</w:t>
            </w:r>
          </w:p>
        </w:tc>
        <w:tc>
          <w:tcPr>
            <w:tcW w:w="1440" w:type="dxa"/>
            <w:vAlign w:val="center"/>
          </w:tcPr>
          <w:p w14:paraId="584FDD89">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住房和城乡建设等相关职能部门</w:t>
            </w:r>
          </w:p>
        </w:tc>
        <w:tc>
          <w:tcPr>
            <w:tcW w:w="2018" w:type="dxa"/>
            <w:vAlign w:val="center"/>
          </w:tcPr>
          <w:p w14:paraId="0CF9C63D">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29E0991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3B3C9A07">
            <w:pPr>
              <w:jc w:val="center"/>
              <w:rPr>
                <w:rFonts w:hint="eastAsia" w:ascii="仿宋_GB2312" w:hAnsi="宋体" w:eastAsia="仿宋_GB2312"/>
                <w:color w:val="000000"/>
                <w:sz w:val="18"/>
                <w:szCs w:val="18"/>
              </w:rPr>
            </w:pPr>
          </w:p>
        </w:tc>
        <w:tc>
          <w:tcPr>
            <w:tcW w:w="551" w:type="dxa"/>
            <w:shd w:val="clear" w:color="auto" w:fill="auto"/>
            <w:vAlign w:val="center"/>
          </w:tcPr>
          <w:p w14:paraId="5C4E26B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9AED1A0">
            <w:pPr>
              <w:jc w:val="center"/>
              <w:rPr>
                <w:rFonts w:hint="eastAsia" w:ascii="仿宋_GB2312" w:hAnsi="宋体" w:eastAsia="仿宋_GB2312"/>
                <w:color w:val="000000"/>
                <w:sz w:val="18"/>
                <w:szCs w:val="18"/>
              </w:rPr>
            </w:pPr>
          </w:p>
        </w:tc>
        <w:tc>
          <w:tcPr>
            <w:tcW w:w="720" w:type="dxa"/>
            <w:shd w:val="clear" w:color="auto" w:fill="auto"/>
            <w:vAlign w:val="center"/>
          </w:tcPr>
          <w:p w14:paraId="0E8A3E65">
            <w:pPr>
              <w:jc w:val="center"/>
              <w:rPr>
                <w:rFonts w:hint="eastAsia" w:ascii="仿宋_GB2312" w:hAnsi="宋体" w:eastAsia="仿宋_GB2312"/>
                <w:color w:val="000000"/>
                <w:sz w:val="18"/>
                <w:szCs w:val="18"/>
              </w:rPr>
            </w:pPr>
          </w:p>
          <w:p w14:paraId="461C93B3">
            <w:pPr>
              <w:jc w:val="center"/>
              <w:rPr>
                <w:rFonts w:hint="eastAsia" w:ascii="仿宋_GB2312" w:hAnsi="宋体" w:eastAsia="仿宋_GB2312"/>
                <w:color w:val="000000"/>
                <w:sz w:val="18"/>
                <w:szCs w:val="18"/>
              </w:rPr>
            </w:pPr>
          </w:p>
        </w:tc>
        <w:tc>
          <w:tcPr>
            <w:tcW w:w="720" w:type="dxa"/>
            <w:shd w:val="clear" w:color="auto" w:fill="auto"/>
            <w:vAlign w:val="center"/>
          </w:tcPr>
          <w:p w14:paraId="2A1E81C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44D6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E521B4E">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5</w:t>
            </w:r>
          </w:p>
        </w:tc>
        <w:tc>
          <w:tcPr>
            <w:tcW w:w="900" w:type="dxa"/>
            <w:vMerge w:val="continue"/>
            <w:shd w:val="clear" w:color="auto" w:fill="auto"/>
            <w:vAlign w:val="center"/>
          </w:tcPr>
          <w:p w14:paraId="59DEA489">
            <w:pPr>
              <w:jc w:val="center"/>
              <w:rPr>
                <w:rFonts w:hint="eastAsia" w:ascii="仿宋_GB2312" w:hAnsi="宋体" w:eastAsia="仿宋_GB2312"/>
                <w:color w:val="000000"/>
                <w:sz w:val="18"/>
                <w:szCs w:val="18"/>
              </w:rPr>
            </w:pPr>
          </w:p>
        </w:tc>
        <w:tc>
          <w:tcPr>
            <w:tcW w:w="1260" w:type="dxa"/>
            <w:shd w:val="clear" w:color="auto" w:fill="auto"/>
            <w:vAlign w:val="center"/>
          </w:tcPr>
          <w:p w14:paraId="36FA915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组织培训</w:t>
            </w:r>
          </w:p>
        </w:tc>
        <w:tc>
          <w:tcPr>
            <w:tcW w:w="1980" w:type="dxa"/>
            <w:vAlign w:val="center"/>
          </w:tcPr>
          <w:p w14:paraId="583BCD0C">
            <w:pPr>
              <w:rPr>
                <w:rFonts w:hint="eastAsia" w:ascii="仿宋_GB2312" w:hAnsi="宋体" w:eastAsia="仿宋_GB2312"/>
                <w:color w:val="000000"/>
                <w:sz w:val="18"/>
                <w:szCs w:val="18"/>
              </w:rPr>
            </w:pPr>
            <w:r>
              <w:rPr>
                <w:rFonts w:hint="eastAsia" w:ascii="仿宋_GB2312" w:hAnsi="宋体" w:eastAsia="仿宋_GB2312"/>
                <w:color w:val="000000"/>
                <w:sz w:val="18"/>
                <w:szCs w:val="18"/>
              </w:rPr>
              <w:t>组织开展农村建筑工匠培训文件</w:t>
            </w:r>
          </w:p>
        </w:tc>
        <w:tc>
          <w:tcPr>
            <w:tcW w:w="1800" w:type="dxa"/>
            <w:vMerge w:val="continue"/>
            <w:vAlign w:val="center"/>
          </w:tcPr>
          <w:p w14:paraId="2F8714A0">
            <w:pPr>
              <w:widowControl/>
              <w:rPr>
                <w:rFonts w:hint="eastAsia" w:ascii="仿宋_GB2312" w:hAnsi="宋体" w:eastAsia="仿宋_GB2312"/>
                <w:color w:val="000000"/>
                <w:sz w:val="18"/>
                <w:szCs w:val="18"/>
              </w:rPr>
            </w:pPr>
          </w:p>
        </w:tc>
        <w:tc>
          <w:tcPr>
            <w:tcW w:w="1402" w:type="dxa"/>
            <w:vAlign w:val="center"/>
          </w:tcPr>
          <w:p w14:paraId="57686A63">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18A54A0E">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vAlign w:val="center"/>
          </w:tcPr>
          <w:p w14:paraId="56E55816">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14:paraId="332EC94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718EFC0F">
            <w:pPr>
              <w:jc w:val="center"/>
              <w:rPr>
                <w:rFonts w:hint="eastAsia" w:ascii="仿宋_GB2312" w:hAnsi="宋体" w:eastAsia="仿宋_GB2312"/>
                <w:color w:val="000000"/>
                <w:sz w:val="18"/>
                <w:szCs w:val="18"/>
              </w:rPr>
            </w:pPr>
          </w:p>
        </w:tc>
        <w:tc>
          <w:tcPr>
            <w:tcW w:w="551" w:type="dxa"/>
            <w:shd w:val="clear" w:color="auto" w:fill="auto"/>
            <w:vAlign w:val="center"/>
          </w:tcPr>
          <w:p w14:paraId="12DC37F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22BCB46">
            <w:pPr>
              <w:jc w:val="center"/>
              <w:rPr>
                <w:rFonts w:hint="eastAsia" w:ascii="仿宋_GB2312" w:hAnsi="宋体" w:eastAsia="仿宋_GB2312"/>
                <w:color w:val="000000"/>
                <w:sz w:val="18"/>
                <w:szCs w:val="18"/>
              </w:rPr>
            </w:pPr>
          </w:p>
        </w:tc>
        <w:tc>
          <w:tcPr>
            <w:tcW w:w="720" w:type="dxa"/>
            <w:shd w:val="clear" w:color="auto" w:fill="auto"/>
            <w:vAlign w:val="center"/>
          </w:tcPr>
          <w:p w14:paraId="6C969DB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B5591F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68A3D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9FA6003">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6</w:t>
            </w:r>
          </w:p>
        </w:tc>
        <w:tc>
          <w:tcPr>
            <w:tcW w:w="900" w:type="dxa"/>
            <w:vMerge w:val="restart"/>
            <w:shd w:val="clear" w:color="auto" w:fill="auto"/>
            <w:vAlign w:val="center"/>
          </w:tcPr>
          <w:p w14:paraId="409D17F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shd w:val="clear" w:color="auto" w:fill="auto"/>
            <w:vAlign w:val="center"/>
          </w:tcPr>
          <w:p w14:paraId="55843D4C">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vAlign w:val="center"/>
          </w:tcPr>
          <w:p w14:paraId="2A90CE8E">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vAlign w:val="center"/>
          </w:tcPr>
          <w:p w14:paraId="1EFA4EB1">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《预算法》、</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Align w:val="center"/>
          </w:tcPr>
          <w:p w14:paraId="191D6AA7">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6B7AA9EB">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vAlign w:val="center"/>
          </w:tcPr>
          <w:p w14:paraId="04040480">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14:paraId="7BEC5D7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6D1CAF49">
            <w:pPr>
              <w:jc w:val="center"/>
              <w:rPr>
                <w:rFonts w:hint="eastAsia" w:ascii="仿宋_GB2312" w:hAnsi="宋体" w:eastAsia="仿宋_GB2312"/>
                <w:color w:val="000000"/>
                <w:sz w:val="18"/>
                <w:szCs w:val="18"/>
              </w:rPr>
            </w:pPr>
          </w:p>
        </w:tc>
        <w:tc>
          <w:tcPr>
            <w:tcW w:w="551" w:type="dxa"/>
            <w:shd w:val="clear" w:color="auto" w:fill="auto"/>
            <w:vAlign w:val="center"/>
          </w:tcPr>
          <w:p w14:paraId="747910E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4FA5C77">
            <w:pPr>
              <w:jc w:val="center"/>
              <w:rPr>
                <w:rFonts w:hint="eastAsia" w:ascii="仿宋_GB2312" w:hAnsi="宋体" w:eastAsia="仿宋_GB2312"/>
                <w:color w:val="000000"/>
                <w:sz w:val="18"/>
                <w:szCs w:val="18"/>
              </w:rPr>
            </w:pPr>
          </w:p>
        </w:tc>
        <w:tc>
          <w:tcPr>
            <w:tcW w:w="720" w:type="dxa"/>
            <w:shd w:val="clear" w:color="auto" w:fill="auto"/>
            <w:vAlign w:val="center"/>
          </w:tcPr>
          <w:p w14:paraId="3BE316F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7E8083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2223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BC7B2A0">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7</w:t>
            </w:r>
          </w:p>
        </w:tc>
        <w:tc>
          <w:tcPr>
            <w:tcW w:w="900" w:type="dxa"/>
            <w:vMerge w:val="continue"/>
            <w:shd w:val="clear" w:color="auto" w:fill="auto"/>
            <w:vAlign w:val="center"/>
          </w:tcPr>
          <w:p w14:paraId="0E87ACA3">
            <w:pPr>
              <w:jc w:val="center"/>
              <w:rPr>
                <w:rFonts w:hint="eastAsia" w:ascii="仿宋_GB2312" w:hAnsi="宋体" w:eastAsia="仿宋_GB2312"/>
                <w:color w:val="000000"/>
                <w:sz w:val="18"/>
                <w:szCs w:val="18"/>
              </w:rPr>
            </w:pPr>
          </w:p>
        </w:tc>
        <w:tc>
          <w:tcPr>
            <w:tcW w:w="1260" w:type="dxa"/>
            <w:shd w:val="clear" w:color="auto" w:fill="auto"/>
            <w:vAlign w:val="center"/>
          </w:tcPr>
          <w:p w14:paraId="203F4AD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vAlign w:val="center"/>
          </w:tcPr>
          <w:p w14:paraId="65B0D778">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vAlign w:val="center"/>
          </w:tcPr>
          <w:p w14:paraId="72B19DD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1A5BB2A9">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3BDF3833">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住房和城乡建设等相关职能部门</w:t>
            </w:r>
          </w:p>
        </w:tc>
        <w:tc>
          <w:tcPr>
            <w:tcW w:w="2018" w:type="dxa"/>
            <w:vAlign w:val="center"/>
          </w:tcPr>
          <w:p w14:paraId="2B16F9D1">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14:paraId="29CFB92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24935DC6">
            <w:pPr>
              <w:jc w:val="center"/>
              <w:rPr>
                <w:rFonts w:hint="eastAsia" w:ascii="仿宋_GB2312" w:hAnsi="宋体" w:eastAsia="仿宋_GB2312"/>
                <w:color w:val="000000"/>
                <w:sz w:val="18"/>
                <w:szCs w:val="18"/>
              </w:rPr>
            </w:pPr>
          </w:p>
        </w:tc>
        <w:tc>
          <w:tcPr>
            <w:tcW w:w="551" w:type="dxa"/>
            <w:shd w:val="clear" w:color="auto" w:fill="auto"/>
            <w:vAlign w:val="center"/>
          </w:tcPr>
          <w:p w14:paraId="1A6A797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66E8AE4">
            <w:pPr>
              <w:jc w:val="center"/>
              <w:rPr>
                <w:rFonts w:hint="eastAsia" w:ascii="仿宋_GB2312" w:hAnsi="宋体" w:eastAsia="仿宋_GB2312"/>
                <w:color w:val="000000"/>
                <w:sz w:val="18"/>
                <w:szCs w:val="18"/>
              </w:rPr>
            </w:pPr>
          </w:p>
        </w:tc>
        <w:tc>
          <w:tcPr>
            <w:tcW w:w="720" w:type="dxa"/>
            <w:shd w:val="clear" w:color="auto" w:fill="auto"/>
            <w:vAlign w:val="center"/>
          </w:tcPr>
          <w:p w14:paraId="45FF751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C7E887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4498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1EAD301">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8</w:t>
            </w:r>
          </w:p>
        </w:tc>
        <w:tc>
          <w:tcPr>
            <w:tcW w:w="900" w:type="dxa"/>
            <w:vMerge w:val="restart"/>
            <w:shd w:val="clear" w:color="auto" w:fill="auto"/>
            <w:vAlign w:val="center"/>
          </w:tcPr>
          <w:p w14:paraId="6728A58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shd w:val="clear" w:color="auto" w:fill="auto"/>
            <w:vAlign w:val="center"/>
          </w:tcPr>
          <w:p w14:paraId="155F6E3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980" w:type="dxa"/>
            <w:vAlign w:val="center"/>
          </w:tcPr>
          <w:p w14:paraId="32B33219">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800" w:type="dxa"/>
            <w:vAlign w:val="center"/>
          </w:tcPr>
          <w:p w14:paraId="7924426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2CE0AF5D">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4D2C4E0D">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住房和城乡建设部门、财政等部门</w:t>
            </w:r>
          </w:p>
        </w:tc>
        <w:tc>
          <w:tcPr>
            <w:tcW w:w="2018" w:type="dxa"/>
            <w:vAlign w:val="center"/>
          </w:tcPr>
          <w:p w14:paraId="2D13E975">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14:paraId="3F9E2A7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20C6BCEB">
            <w:pPr>
              <w:jc w:val="center"/>
              <w:rPr>
                <w:rFonts w:hint="eastAsia" w:ascii="仿宋_GB2312" w:hAnsi="宋体" w:eastAsia="仿宋_GB2312"/>
                <w:color w:val="000000"/>
                <w:sz w:val="18"/>
                <w:szCs w:val="18"/>
              </w:rPr>
            </w:pPr>
          </w:p>
        </w:tc>
        <w:tc>
          <w:tcPr>
            <w:tcW w:w="551" w:type="dxa"/>
            <w:shd w:val="clear" w:color="auto" w:fill="auto"/>
            <w:vAlign w:val="center"/>
          </w:tcPr>
          <w:p w14:paraId="7EFBF01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CC3282A">
            <w:pPr>
              <w:jc w:val="center"/>
              <w:rPr>
                <w:rFonts w:hint="eastAsia" w:ascii="仿宋_GB2312" w:hAnsi="宋体" w:eastAsia="仿宋_GB2312"/>
                <w:color w:val="000000"/>
                <w:sz w:val="18"/>
                <w:szCs w:val="18"/>
              </w:rPr>
            </w:pPr>
          </w:p>
        </w:tc>
        <w:tc>
          <w:tcPr>
            <w:tcW w:w="720" w:type="dxa"/>
            <w:shd w:val="clear" w:color="auto" w:fill="auto"/>
            <w:vAlign w:val="center"/>
          </w:tcPr>
          <w:p w14:paraId="22D2125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077154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222B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B3B0DE5">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9</w:t>
            </w:r>
          </w:p>
        </w:tc>
        <w:tc>
          <w:tcPr>
            <w:tcW w:w="900" w:type="dxa"/>
            <w:vMerge w:val="continue"/>
            <w:shd w:val="clear" w:color="auto" w:fill="auto"/>
            <w:vAlign w:val="center"/>
          </w:tcPr>
          <w:p w14:paraId="179BD051">
            <w:pPr>
              <w:jc w:val="center"/>
              <w:rPr>
                <w:rFonts w:hint="eastAsia" w:ascii="仿宋_GB2312" w:hAnsi="宋体" w:eastAsia="仿宋_GB2312"/>
                <w:color w:val="000000"/>
                <w:sz w:val="18"/>
                <w:szCs w:val="18"/>
              </w:rPr>
            </w:pPr>
          </w:p>
        </w:tc>
        <w:tc>
          <w:tcPr>
            <w:tcW w:w="1260" w:type="dxa"/>
            <w:shd w:val="clear" w:color="auto" w:fill="auto"/>
            <w:vAlign w:val="center"/>
          </w:tcPr>
          <w:p w14:paraId="05CCB91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农村危房改造竣工合格标准</w:t>
            </w:r>
          </w:p>
        </w:tc>
        <w:tc>
          <w:tcPr>
            <w:tcW w:w="1980" w:type="dxa"/>
            <w:vAlign w:val="center"/>
          </w:tcPr>
          <w:p w14:paraId="5A690DD9">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农村危房改造竣工验收要求</w:t>
            </w:r>
          </w:p>
        </w:tc>
        <w:tc>
          <w:tcPr>
            <w:tcW w:w="1800" w:type="dxa"/>
            <w:vAlign w:val="center"/>
          </w:tcPr>
          <w:p w14:paraId="7C5618D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2AFB5639">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4E0C3A17">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vAlign w:val="center"/>
          </w:tcPr>
          <w:p w14:paraId="0BF41617">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14:paraId="6E39A92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7B07F8D2">
            <w:pPr>
              <w:jc w:val="center"/>
              <w:rPr>
                <w:rFonts w:hint="eastAsia" w:ascii="仿宋_GB2312" w:hAnsi="宋体" w:eastAsia="仿宋_GB2312"/>
                <w:color w:val="000000"/>
                <w:sz w:val="18"/>
                <w:szCs w:val="18"/>
              </w:rPr>
            </w:pPr>
          </w:p>
        </w:tc>
        <w:tc>
          <w:tcPr>
            <w:tcW w:w="551" w:type="dxa"/>
            <w:shd w:val="clear" w:color="auto" w:fill="auto"/>
            <w:vAlign w:val="center"/>
          </w:tcPr>
          <w:p w14:paraId="79D62BB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BF9EA26">
            <w:pPr>
              <w:jc w:val="center"/>
              <w:rPr>
                <w:rFonts w:hint="eastAsia" w:ascii="仿宋_GB2312" w:hAnsi="宋体" w:eastAsia="仿宋_GB2312"/>
                <w:color w:val="000000"/>
                <w:sz w:val="18"/>
                <w:szCs w:val="18"/>
              </w:rPr>
            </w:pPr>
          </w:p>
        </w:tc>
        <w:tc>
          <w:tcPr>
            <w:tcW w:w="720" w:type="dxa"/>
            <w:shd w:val="clear" w:color="auto" w:fill="auto"/>
            <w:vAlign w:val="center"/>
          </w:tcPr>
          <w:p w14:paraId="6A4272C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62F11E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468B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DD37A30">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10</w:t>
            </w:r>
          </w:p>
        </w:tc>
        <w:tc>
          <w:tcPr>
            <w:tcW w:w="900" w:type="dxa"/>
            <w:vMerge w:val="restart"/>
            <w:shd w:val="clear" w:color="auto" w:fill="auto"/>
            <w:vAlign w:val="center"/>
          </w:tcPr>
          <w:p w14:paraId="1D941F7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shd w:val="clear" w:color="auto" w:fill="auto"/>
            <w:vAlign w:val="center"/>
          </w:tcPr>
          <w:p w14:paraId="0ECB4517">
            <w:pPr>
              <w:rPr>
                <w:rFonts w:hint="eastAsia" w:ascii="仿宋_GB2312" w:hAnsi="宋体" w:eastAsia="仿宋_GB2312"/>
                <w:color w:val="000000"/>
                <w:sz w:val="18"/>
                <w:szCs w:val="18"/>
              </w:rPr>
            </w:pPr>
            <w:r>
              <w:rPr>
                <w:rFonts w:hint="eastAsia" w:ascii="仿宋_GB2312" w:hAnsi="宋体" w:eastAsia="仿宋_GB2312"/>
                <w:color w:val="000000"/>
                <w:sz w:val="18"/>
                <w:szCs w:val="18"/>
              </w:rPr>
              <w:t>危改户认定程序</w:t>
            </w:r>
          </w:p>
        </w:tc>
        <w:tc>
          <w:tcPr>
            <w:tcW w:w="1980" w:type="dxa"/>
            <w:vAlign w:val="center"/>
          </w:tcPr>
          <w:p w14:paraId="1910312C">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农村危房改造申请程序</w:t>
            </w:r>
          </w:p>
        </w:tc>
        <w:tc>
          <w:tcPr>
            <w:tcW w:w="1800" w:type="dxa"/>
            <w:vAlign w:val="center"/>
          </w:tcPr>
          <w:p w14:paraId="17B4CC0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65CE3EDF">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079D94BA">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县级住房和城乡建设部门</w:t>
            </w:r>
          </w:p>
        </w:tc>
        <w:tc>
          <w:tcPr>
            <w:tcW w:w="2018" w:type="dxa"/>
            <w:vAlign w:val="center"/>
          </w:tcPr>
          <w:p w14:paraId="77E3F22D">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14:paraId="2678E92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13961D96">
            <w:pPr>
              <w:jc w:val="center"/>
              <w:rPr>
                <w:rFonts w:hint="eastAsia" w:ascii="仿宋_GB2312" w:hAnsi="宋体" w:eastAsia="仿宋_GB2312"/>
                <w:color w:val="000000"/>
                <w:sz w:val="18"/>
                <w:szCs w:val="18"/>
              </w:rPr>
            </w:pPr>
          </w:p>
        </w:tc>
        <w:tc>
          <w:tcPr>
            <w:tcW w:w="551" w:type="dxa"/>
            <w:shd w:val="clear" w:color="auto" w:fill="auto"/>
            <w:vAlign w:val="center"/>
          </w:tcPr>
          <w:p w14:paraId="2DBF3B1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14F6D99">
            <w:pPr>
              <w:jc w:val="center"/>
              <w:rPr>
                <w:rFonts w:hint="eastAsia" w:ascii="仿宋_GB2312" w:hAnsi="宋体" w:eastAsia="仿宋_GB2312"/>
                <w:color w:val="000000"/>
                <w:sz w:val="18"/>
                <w:szCs w:val="18"/>
              </w:rPr>
            </w:pPr>
          </w:p>
        </w:tc>
        <w:tc>
          <w:tcPr>
            <w:tcW w:w="720" w:type="dxa"/>
            <w:shd w:val="clear" w:color="auto" w:fill="auto"/>
            <w:vAlign w:val="center"/>
          </w:tcPr>
          <w:p w14:paraId="3E05C52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2B4278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644A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777D5AB">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11</w:t>
            </w:r>
          </w:p>
        </w:tc>
        <w:tc>
          <w:tcPr>
            <w:tcW w:w="900" w:type="dxa"/>
            <w:vMerge w:val="continue"/>
            <w:shd w:val="clear" w:color="auto" w:fill="auto"/>
            <w:vAlign w:val="center"/>
          </w:tcPr>
          <w:p w14:paraId="64E28ED2">
            <w:pPr>
              <w:jc w:val="center"/>
              <w:rPr>
                <w:rFonts w:hint="eastAsia" w:ascii="仿宋_GB2312" w:hAnsi="宋体" w:eastAsia="仿宋_GB2312"/>
                <w:color w:val="000000"/>
                <w:sz w:val="18"/>
                <w:szCs w:val="18"/>
              </w:rPr>
            </w:pPr>
          </w:p>
        </w:tc>
        <w:tc>
          <w:tcPr>
            <w:tcW w:w="1260" w:type="dxa"/>
            <w:shd w:val="clear" w:color="auto" w:fill="auto"/>
            <w:vAlign w:val="center"/>
          </w:tcPr>
          <w:p w14:paraId="7F08BE9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980" w:type="dxa"/>
            <w:vAlign w:val="center"/>
          </w:tcPr>
          <w:p w14:paraId="47F5E871">
            <w:pP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800" w:type="dxa"/>
            <w:vAlign w:val="center"/>
          </w:tcPr>
          <w:p w14:paraId="18D745B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0D5541EC">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1C8A5819">
            <w:pPr>
              <w:rPr>
                <w:rFonts w:hint="eastAsia" w:ascii="仿宋_GB2312" w:hAnsi="宋体" w:eastAsia="仿宋_GB2312"/>
                <w:color w:val="000000"/>
                <w:sz w:val="18"/>
                <w:szCs w:val="18"/>
              </w:rPr>
            </w:pPr>
            <w:r>
              <w:rPr>
                <w:rFonts w:hint="eastAsia" w:ascii="仿宋_GB2312" w:hAnsi="宋体" w:eastAsia="仿宋_GB2312"/>
                <w:color w:val="000000"/>
                <w:sz w:val="18"/>
                <w:szCs w:val="18"/>
              </w:rPr>
              <w:t>乡镇人民政府、村委会</w:t>
            </w:r>
          </w:p>
        </w:tc>
        <w:tc>
          <w:tcPr>
            <w:tcW w:w="2018" w:type="dxa"/>
            <w:vAlign w:val="center"/>
          </w:tcPr>
          <w:p w14:paraId="747DD4B9">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19ACB9A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6D9B539B">
            <w:pPr>
              <w:jc w:val="center"/>
              <w:rPr>
                <w:rFonts w:hint="eastAsia" w:ascii="仿宋_GB2312" w:hAnsi="宋体" w:eastAsia="仿宋_GB2312"/>
                <w:color w:val="000000"/>
                <w:sz w:val="18"/>
                <w:szCs w:val="18"/>
              </w:rPr>
            </w:pPr>
          </w:p>
        </w:tc>
        <w:tc>
          <w:tcPr>
            <w:tcW w:w="551" w:type="dxa"/>
            <w:shd w:val="clear" w:color="auto" w:fill="auto"/>
            <w:vAlign w:val="center"/>
          </w:tcPr>
          <w:p w14:paraId="1F733FE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5FD6FF8">
            <w:pPr>
              <w:jc w:val="center"/>
              <w:rPr>
                <w:rFonts w:hint="eastAsia" w:ascii="仿宋_GB2312" w:hAnsi="宋体" w:eastAsia="仿宋_GB2312"/>
                <w:color w:val="000000"/>
                <w:sz w:val="18"/>
                <w:szCs w:val="18"/>
              </w:rPr>
            </w:pPr>
          </w:p>
        </w:tc>
        <w:tc>
          <w:tcPr>
            <w:tcW w:w="720" w:type="dxa"/>
            <w:shd w:val="clear" w:color="auto" w:fill="auto"/>
            <w:vAlign w:val="center"/>
          </w:tcPr>
          <w:p w14:paraId="3E74872D">
            <w:pPr>
              <w:jc w:val="center"/>
              <w:rPr>
                <w:rFonts w:hint="eastAsia" w:ascii="仿宋_GB2312" w:hAnsi="宋体" w:eastAsia="仿宋_GB2312"/>
                <w:color w:val="000000"/>
                <w:sz w:val="18"/>
                <w:szCs w:val="18"/>
              </w:rPr>
            </w:pPr>
          </w:p>
        </w:tc>
        <w:tc>
          <w:tcPr>
            <w:tcW w:w="720" w:type="dxa"/>
            <w:shd w:val="clear" w:color="auto" w:fill="auto"/>
            <w:vAlign w:val="center"/>
          </w:tcPr>
          <w:p w14:paraId="09612BD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1546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3334DC3">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12</w:t>
            </w:r>
          </w:p>
        </w:tc>
        <w:tc>
          <w:tcPr>
            <w:tcW w:w="900" w:type="dxa"/>
            <w:shd w:val="clear" w:color="auto" w:fill="auto"/>
            <w:vAlign w:val="center"/>
          </w:tcPr>
          <w:p w14:paraId="5792A69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预算管理</w:t>
            </w:r>
          </w:p>
        </w:tc>
        <w:tc>
          <w:tcPr>
            <w:tcW w:w="1260" w:type="dxa"/>
            <w:shd w:val="clear" w:color="auto" w:fill="auto"/>
            <w:vAlign w:val="center"/>
          </w:tcPr>
          <w:p w14:paraId="14E0D473">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预算编制和执行情况</w:t>
            </w:r>
          </w:p>
        </w:tc>
        <w:tc>
          <w:tcPr>
            <w:tcW w:w="1980" w:type="dxa"/>
            <w:vAlign w:val="center"/>
          </w:tcPr>
          <w:p w14:paraId="402C8B21">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预算、预算调整、决算、预算执行情况的报告及报表有关内容，部门预算、决算及报表有关内容</w:t>
            </w:r>
          </w:p>
        </w:tc>
        <w:tc>
          <w:tcPr>
            <w:tcW w:w="1800" w:type="dxa"/>
            <w:vAlign w:val="center"/>
          </w:tcPr>
          <w:p w14:paraId="2560CDB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34F87F50">
            <w:pPr>
              <w:rPr>
                <w:rFonts w:hint="eastAsia" w:ascii="仿宋_GB2312" w:hAnsi="宋体" w:eastAsia="仿宋_GB2312"/>
                <w:color w:val="000000"/>
                <w:sz w:val="18"/>
                <w:szCs w:val="18"/>
              </w:rPr>
            </w:pPr>
            <w:r>
              <w:rPr>
                <w:rFonts w:hint="eastAsia" w:ascii="仿宋_GB2312" w:hAnsi="宋体" w:eastAsia="仿宋_GB2312"/>
                <w:color w:val="000000"/>
                <w:sz w:val="18"/>
                <w:szCs w:val="18"/>
              </w:rPr>
              <w:t>经县级人民代表大会、人民代表大会常务委员会批准或财政部门批复后20日内</w:t>
            </w:r>
          </w:p>
        </w:tc>
        <w:tc>
          <w:tcPr>
            <w:tcW w:w="1440" w:type="dxa"/>
            <w:vAlign w:val="center"/>
          </w:tcPr>
          <w:p w14:paraId="5F1B5041">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县级财政、住房和城乡建设部门</w:t>
            </w:r>
          </w:p>
        </w:tc>
        <w:tc>
          <w:tcPr>
            <w:tcW w:w="2018" w:type="dxa"/>
            <w:vAlign w:val="center"/>
          </w:tcPr>
          <w:p w14:paraId="0FA8225F">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55D11CC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325F6EFB">
            <w:pPr>
              <w:jc w:val="center"/>
              <w:rPr>
                <w:rFonts w:hint="eastAsia" w:ascii="仿宋_GB2312" w:hAnsi="宋体" w:eastAsia="仿宋_GB2312"/>
                <w:color w:val="000000"/>
                <w:sz w:val="18"/>
                <w:szCs w:val="18"/>
              </w:rPr>
            </w:pPr>
          </w:p>
        </w:tc>
        <w:tc>
          <w:tcPr>
            <w:tcW w:w="551" w:type="dxa"/>
            <w:shd w:val="clear" w:color="auto" w:fill="auto"/>
            <w:vAlign w:val="center"/>
          </w:tcPr>
          <w:p w14:paraId="6EE2891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CA26D31">
            <w:pPr>
              <w:jc w:val="center"/>
              <w:rPr>
                <w:rFonts w:hint="eastAsia" w:ascii="仿宋_GB2312" w:hAnsi="宋体" w:eastAsia="仿宋_GB2312"/>
                <w:color w:val="000000"/>
                <w:sz w:val="18"/>
                <w:szCs w:val="18"/>
              </w:rPr>
            </w:pPr>
          </w:p>
        </w:tc>
        <w:tc>
          <w:tcPr>
            <w:tcW w:w="720" w:type="dxa"/>
            <w:shd w:val="clear" w:color="auto" w:fill="auto"/>
            <w:vAlign w:val="center"/>
          </w:tcPr>
          <w:p w14:paraId="06DA124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5921CEE">
            <w:pPr>
              <w:jc w:val="center"/>
              <w:rPr>
                <w:rFonts w:hint="eastAsia" w:ascii="仿宋_GB2312" w:hAnsi="宋体" w:eastAsia="仿宋_GB2312"/>
                <w:color w:val="000000"/>
                <w:sz w:val="18"/>
                <w:szCs w:val="18"/>
              </w:rPr>
            </w:pPr>
          </w:p>
        </w:tc>
      </w:tr>
      <w:tr w14:paraId="583F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5F07D5C">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13</w:t>
            </w:r>
          </w:p>
        </w:tc>
        <w:tc>
          <w:tcPr>
            <w:tcW w:w="900" w:type="dxa"/>
            <w:shd w:val="clear" w:color="auto" w:fill="auto"/>
            <w:vAlign w:val="center"/>
          </w:tcPr>
          <w:p w14:paraId="22F544A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1260" w:type="dxa"/>
            <w:shd w:val="clear" w:color="auto" w:fill="auto"/>
            <w:vAlign w:val="center"/>
          </w:tcPr>
          <w:p w14:paraId="43E509C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1980" w:type="dxa"/>
            <w:vAlign w:val="center"/>
          </w:tcPr>
          <w:p w14:paraId="40030E29">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1800" w:type="dxa"/>
            <w:vMerge w:val="restart"/>
            <w:vAlign w:val="center"/>
          </w:tcPr>
          <w:p w14:paraId="01FEA336">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402" w:type="dxa"/>
            <w:vAlign w:val="center"/>
          </w:tcPr>
          <w:p w14:paraId="1336E33D">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721F5401">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vAlign w:val="center"/>
          </w:tcPr>
          <w:p w14:paraId="01B0E40D">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04A2646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583A7A88">
            <w:pPr>
              <w:jc w:val="center"/>
              <w:rPr>
                <w:rFonts w:hint="eastAsia" w:ascii="仿宋_GB2312" w:hAnsi="宋体" w:eastAsia="仿宋_GB2312"/>
                <w:color w:val="000000"/>
                <w:sz w:val="18"/>
                <w:szCs w:val="18"/>
              </w:rPr>
            </w:pPr>
          </w:p>
        </w:tc>
        <w:tc>
          <w:tcPr>
            <w:tcW w:w="551" w:type="dxa"/>
            <w:shd w:val="clear" w:color="auto" w:fill="auto"/>
            <w:vAlign w:val="center"/>
          </w:tcPr>
          <w:p w14:paraId="32E0BCB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BA14A0A">
            <w:pPr>
              <w:jc w:val="center"/>
              <w:rPr>
                <w:rFonts w:hint="eastAsia" w:ascii="仿宋_GB2312" w:hAnsi="宋体" w:eastAsia="仿宋_GB2312"/>
                <w:color w:val="000000"/>
                <w:sz w:val="18"/>
                <w:szCs w:val="18"/>
              </w:rPr>
            </w:pPr>
          </w:p>
        </w:tc>
        <w:tc>
          <w:tcPr>
            <w:tcW w:w="720" w:type="dxa"/>
            <w:shd w:val="clear" w:color="auto" w:fill="auto"/>
            <w:vAlign w:val="center"/>
          </w:tcPr>
          <w:p w14:paraId="69548A2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0159DA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62BE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69B2A79">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14</w:t>
            </w:r>
          </w:p>
        </w:tc>
        <w:tc>
          <w:tcPr>
            <w:tcW w:w="900" w:type="dxa"/>
            <w:shd w:val="clear" w:color="auto" w:fill="auto"/>
            <w:vAlign w:val="center"/>
          </w:tcPr>
          <w:p w14:paraId="6D6C034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1260" w:type="dxa"/>
            <w:shd w:val="clear" w:color="auto" w:fill="auto"/>
            <w:vAlign w:val="center"/>
          </w:tcPr>
          <w:p w14:paraId="76F2767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1980" w:type="dxa"/>
            <w:vAlign w:val="center"/>
          </w:tcPr>
          <w:p w14:paraId="25066069">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1800" w:type="dxa"/>
            <w:vMerge w:val="continue"/>
            <w:vAlign w:val="center"/>
          </w:tcPr>
          <w:p w14:paraId="0774FD1A">
            <w:pPr>
              <w:rPr>
                <w:rFonts w:hint="eastAsia" w:ascii="仿宋_GB2312" w:hAnsi="宋体" w:eastAsia="仿宋_GB2312"/>
                <w:color w:val="000000"/>
                <w:sz w:val="18"/>
                <w:szCs w:val="18"/>
              </w:rPr>
            </w:pPr>
          </w:p>
        </w:tc>
        <w:tc>
          <w:tcPr>
            <w:tcW w:w="1402" w:type="dxa"/>
            <w:vAlign w:val="center"/>
          </w:tcPr>
          <w:p w14:paraId="2795E804">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1EE27EF5">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vAlign w:val="center"/>
          </w:tcPr>
          <w:p w14:paraId="10E0970E">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581AC31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7195D39B">
            <w:pPr>
              <w:jc w:val="center"/>
              <w:rPr>
                <w:rFonts w:hint="eastAsia" w:ascii="仿宋_GB2312" w:hAnsi="宋体" w:eastAsia="仿宋_GB2312"/>
                <w:color w:val="000000"/>
                <w:sz w:val="18"/>
                <w:szCs w:val="18"/>
              </w:rPr>
            </w:pPr>
          </w:p>
        </w:tc>
        <w:tc>
          <w:tcPr>
            <w:tcW w:w="551" w:type="dxa"/>
            <w:shd w:val="clear" w:color="auto" w:fill="auto"/>
            <w:vAlign w:val="center"/>
          </w:tcPr>
          <w:p w14:paraId="0F04416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9473237">
            <w:pPr>
              <w:jc w:val="center"/>
              <w:rPr>
                <w:rFonts w:hint="eastAsia" w:ascii="仿宋_GB2312" w:hAnsi="宋体" w:eastAsia="仿宋_GB2312"/>
                <w:color w:val="000000"/>
                <w:sz w:val="18"/>
                <w:szCs w:val="18"/>
              </w:rPr>
            </w:pPr>
          </w:p>
        </w:tc>
        <w:tc>
          <w:tcPr>
            <w:tcW w:w="720" w:type="dxa"/>
            <w:shd w:val="clear" w:color="auto" w:fill="auto"/>
            <w:vAlign w:val="center"/>
          </w:tcPr>
          <w:p w14:paraId="244D5BD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32C4EE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4E50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F7F743A">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15</w:t>
            </w:r>
          </w:p>
        </w:tc>
        <w:tc>
          <w:tcPr>
            <w:tcW w:w="900" w:type="dxa"/>
            <w:vMerge w:val="restart"/>
            <w:shd w:val="clear" w:color="auto" w:fill="auto"/>
            <w:vAlign w:val="center"/>
          </w:tcPr>
          <w:p w14:paraId="580DB2A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1260" w:type="dxa"/>
            <w:shd w:val="clear" w:color="auto" w:fill="auto"/>
            <w:vAlign w:val="center"/>
          </w:tcPr>
          <w:p w14:paraId="2C7A1943">
            <w:pP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1980" w:type="dxa"/>
            <w:vAlign w:val="center"/>
          </w:tcPr>
          <w:p w14:paraId="4D843090">
            <w:pPr>
              <w:rPr>
                <w:rFonts w:hint="eastAsia"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1800" w:type="dxa"/>
            <w:vMerge w:val="restart"/>
            <w:vAlign w:val="center"/>
          </w:tcPr>
          <w:p w14:paraId="28A13239">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、《关于全面推进政务公开工作的意见》及其实施细则</w:t>
            </w:r>
          </w:p>
        </w:tc>
        <w:tc>
          <w:tcPr>
            <w:tcW w:w="1402" w:type="dxa"/>
            <w:vAlign w:val="center"/>
          </w:tcPr>
          <w:p w14:paraId="72D3103C">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w:t>
            </w:r>
          </w:p>
          <w:p w14:paraId="5B981D0F">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起20个工作日</w:t>
            </w:r>
          </w:p>
          <w:p w14:paraId="247AA2DA">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内</w:t>
            </w:r>
          </w:p>
        </w:tc>
        <w:tc>
          <w:tcPr>
            <w:tcW w:w="1440" w:type="dxa"/>
            <w:vAlign w:val="center"/>
          </w:tcPr>
          <w:p w14:paraId="7387E211">
            <w:pPr>
              <w:rPr>
                <w:rFonts w:hint="eastAsia" w:ascii="仿宋_GB2312" w:hAnsi="宋体" w:eastAsia="仿宋_GB2312"/>
                <w:color w:val="000000"/>
                <w:sz w:val="18"/>
                <w:szCs w:val="18"/>
              </w:rPr>
            </w:pPr>
            <w:r>
              <w:rPr>
                <w:rFonts w:hint="eastAsia" w:ascii="仿宋_GB2312" w:hAnsi="宋体" w:eastAsia="仿宋_GB2312"/>
                <w:color w:val="000000"/>
                <w:sz w:val="18"/>
                <w:szCs w:val="18"/>
              </w:rPr>
              <w:t>省、市、县级住房和城乡建设等相关职能部门</w:t>
            </w:r>
          </w:p>
        </w:tc>
        <w:tc>
          <w:tcPr>
            <w:tcW w:w="2018" w:type="dxa"/>
            <w:vAlign w:val="center"/>
          </w:tcPr>
          <w:p w14:paraId="3C027291">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政府门户网站、政务新媒体、广播、电视、报纸、公示栏等平台和办事大厅、便民服务窗口等场所</w:t>
            </w:r>
          </w:p>
        </w:tc>
        <w:tc>
          <w:tcPr>
            <w:tcW w:w="720" w:type="dxa"/>
            <w:shd w:val="clear" w:color="auto" w:fill="auto"/>
            <w:vAlign w:val="center"/>
          </w:tcPr>
          <w:p w14:paraId="2A8A299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627DD34F">
            <w:pPr>
              <w:jc w:val="center"/>
              <w:rPr>
                <w:rFonts w:hint="eastAsia" w:ascii="仿宋_GB2312" w:hAnsi="宋体" w:eastAsia="仿宋_GB2312"/>
                <w:color w:val="000000"/>
                <w:sz w:val="18"/>
                <w:szCs w:val="18"/>
              </w:rPr>
            </w:pPr>
          </w:p>
        </w:tc>
        <w:tc>
          <w:tcPr>
            <w:tcW w:w="551" w:type="dxa"/>
            <w:shd w:val="clear" w:color="auto" w:fill="auto"/>
            <w:vAlign w:val="center"/>
          </w:tcPr>
          <w:p w14:paraId="5C50678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98E52D0">
            <w:pPr>
              <w:jc w:val="center"/>
              <w:rPr>
                <w:rFonts w:hint="eastAsia" w:ascii="仿宋_GB2312" w:hAnsi="宋体" w:eastAsia="仿宋_GB2312"/>
                <w:color w:val="000000"/>
                <w:sz w:val="18"/>
                <w:szCs w:val="18"/>
              </w:rPr>
            </w:pPr>
          </w:p>
        </w:tc>
        <w:tc>
          <w:tcPr>
            <w:tcW w:w="720" w:type="dxa"/>
            <w:shd w:val="clear" w:color="auto" w:fill="auto"/>
            <w:vAlign w:val="center"/>
          </w:tcPr>
          <w:p w14:paraId="6F25645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138C8A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6C9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9904768">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16</w:t>
            </w:r>
          </w:p>
        </w:tc>
        <w:tc>
          <w:tcPr>
            <w:tcW w:w="900" w:type="dxa"/>
            <w:vMerge w:val="continue"/>
            <w:shd w:val="clear" w:color="auto" w:fill="auto"/>
            <w:vAlign w:val="center"/>
          </w:tcPr>
          <w:p w14:paraId="03B5683B">
            <w:pPr>
              <w:jc w:val="center"/>
              <w:rPr>
                <w:rFonts w:hint="eastAsia" w:ascii="仿宋_GB2312" w:hAnsi="宋体" w:eastAsia="仿宋_GB2312"/>
                <w:color w:val="000000"/>
                <w:sz w:val="18"/>
                <w:szCs w:val="18"/>
              </w:rPr>
            </w:pPr>
          </w:p>
        </w:tc>
        <w:tc>
          <w:tcPr>
            <w:tcW w:w="1260" w:type="dxa"/>
            <w:shd w:val="clear" w:color="auto" w:fill="auto"/>
            <w:vAlign w:val="center"/>
          </w:tcPr>
          <w:p w14:paraId="7CF7C4A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980" w:type="dxa"/>
            <w:vAlign w:val="center"/>
          </w:tcPr>
          <w:p w14:paraId="204F51C3">
            <w:pPr>
              <w:rPr>
                <w:rFonts w:hint="eastAsia"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1800" w:type="dxa"/>
            <w:vMerge w:val="continue"/>
            <w:vAlign w:val="center"/>
          </w:tcPr>
          <w:p w14:paraId="2A621441">
            <w:pPr>
              <w:rPr>
                <w:rFonts w:hint="eastAsia" w:ascii="仿宋_GB2312" w:hAnsi="宋体" w:eastAsia="仿宋_GB2312"/>
                <w:color w:val="000000"/>
                <w:sz w:val="18"/>
                <w:szCs w:val="18"/>
              </w:rPr>
            </w:pPr>
          </w:p>
        </w:tc>
        <w:tc>
          <w:tcPr>
            <w:tcW w:w="1402" w:type="dxa"/>
            <w:vAlign w:val="center"/>
          </w:tcPr>
          <w:p w14:paraId="032566C3">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1440" w:type="dxa"/>
            <w:vAlign w:val="center"/>
          </w:tcPr>
          <w:p w14:paraId="349A710A">
            <w:pPr>
              <w:rPr>
                <w:rFonts w:hint="eastAsia" w:ascii="仿宋_GB2312" w:hAnsi="宋体" w:eastAsia="仿宋_GB2312"/>
                <w:color w:val="000000"/>
                <w:sz w:val="18"/>
                <w:szCs w:val="18"/>
              </w:rPr>
            </w:pPr>
            <w:r>
              <w:rPr>
                <w:rFonts w:hint="eastAsia" w:ascii="仿宋_GB2312" w:hAnsi="宋体" w:eastAsia="仿宋_GB2312"/>
                <w:color w:val="000000"/>
                <w:sz w:val="18"/>
                <w:szCs w:val="18"/>
              </w:rPr>
              <w:t>辖区政府、县级住房和城乡建设等相关职能部门</w:t>
            </w:r>
          </w:p>
        </w:tc>
        <w:tc>
          <w:tcPr>
            <w:tcW w:w="2018" w:type="dxa"/>
            <w:vAlign w:val="center"/>
          </w:tcPr>
          <w:p w14:paraId="460B4502">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0DF9E41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3FE7A07">
            <w:pPr>
              <w:jc w:val="center"/>
              <w:rPr>
                <w:rFonts w:hint="eastAsia" w:ascii="仿宋_GB2312" w:hAnsi="宋体" w:eastAsia="仿宋_GB2312"/>
                <w:color w:val="000000"/>
                <w:sz w:val="18"/>
                <w:szCs w:val="18"/>
              </w:rPr>
            </w:pPr>
          </w:p>
        </w:tc>
        <w:tc>
          <w:tcPr>
            <w:tcW w:w="551" w:type="dxa"/>
            <w:shd w:val="clear" w:color="auto" w:fill="auto"/>
            <w:vAlign w:val="center"/>
          </w:tcPr>
          <w:p w14:paraId="505D335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3BFBD22">
            <w:pPr>
              <w:jc w:val="center"/>
              <w:rPr>
                <w:rFonts w:hint="eastAsia" w:ascii="仿宋_GB2312" w:hAnsi="宋体" w:eastAsia="仿宋_GB2312"/>
                <w:color w:val="000000"/>
                <w:sz w:val="18"/>
                <w:szCs w:val="18"/>
              </w:rPr>
            </w:pPr>
          </w:p>
        </w:tc>
        <w:tc>
          <w:tcPr>
            <w:tcW w:w="720" w:type="dxa"/>
            <w:shd w:val="clear" w:color="auto" w:fill="auto"/>
            <w:vAlign w:val="center"/>
          </w:tcPr>
          <w:p w14:paraId="61D3E915">
            <w:pPr>
              <w:jc w:val="center"/>
              <w:rPr>
                <w:rFonts w:hint="eastAsia" w:ascii="仿宋_GB2312" w:hAnsi="宋体" w:eastAsia="仿宋_GB2312"/>
                <w:color w:val="000000"/>
                <w:sz w:val="18"/>
                <w:szCs w:val="18"/>
              </w:rPr>
            </w:pPr>
          </w:p>
        </w:tc>
        <w:tc>
          <w:tcPr>
            <w:tcW w:w="720" w:type="dxa"/>
            <w:shd w:val="clear" w:color="auto" w:fill="auto"/>
            <w:vAlign w:val="center"/>
          </w:tcPr>
          <w:p w14:paraId="1F03A6A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14:paraId="75963891">
      <w:pPr>
        <w:jc w:val="center"/>
        <w:rPr>
          <w:rFonts w:ascii="仿宋_GB2312" w:hAnsi="Times New Roman" w:eastAsia="仿宋_GB2312"/>
          <w:sz w:val="18"/>
          <w:szCs w:val="18"/>
        </w:rPr>
      </w:pPr>
    </w:p>
    <w:p w14:paraId="5E1691F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2MmU1ZjdlNzY4Y2JmZWMxNTk4MTk1MjFmZWU4ZWQifQ=="/>
  </w:docVars>
  <w:rsids>
    <w:rsidRoot w:val="00416393"/>
    <w:rsid w:val="00146120"/>
    <w:rsid w:val="00190068"/>
    <w:rsid w:val="00193DB9"/>
    <w:rsid w:val="001E6D63"/>
    <w:rsid w:val="002967AA"/>
    <w:rsid w:val="002E0878"/>
    <w:rsid w:val="003B2C77"/>
    <w:rsid w:val="004077CB"/>
    <w:rsid w:val="00416393"/>
    <w:rsid w:val="00505CE0"/>
    <w:rsid w:val="00612901"/>
    <w:rsid w:val="008438B0"/>
    <w:rsid w:val="00902A01"/>
    <w:rsid w:val="00A41EEC"/>
    <w:rsid w:val="00AA6B60"/>
    <w:rsid w:val="00B56955"/>
    <w:rsid w:val="00C3715A"/>
    <w:rsid w:val="00FA002F"/>
    <w:rsid w:val="00FE0F57"/>
    <w:rsid w:val="5D2878A9"/>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iPriority w:val="0"/>
    <w:pPr>
      <w:jc w:val="left"/>
    </w:pPr>
  </w:style>
  <w:style w:type="paragraph" w:styleId="4">
    <w:name w:val="Balloon Text"/>
    <w:basedOn w:val="1"/>
    <w:link w:val="19"/>
    <w:semiHidden/>
    <w:uiPriority w:val="0"/>
    <w:rPr>
      <w:sz w:val="18"/>
      <w:szCs w:val="18"/>
    </w:rPr>
  </w:style>
  <w:style w:type="paragraph" w:styleId="5">
    <w:name w:val="footer"/>
    <w:basedOn w:val="1"/>
    <w:link w:val="22"/>
    <w:uiPriority w:val="0"/>
    <w:pPr>
      <w:tabs>
        <w:tab w:val="center" w:pos="4153"/>
        <w:tab w:val="right" w:pos="8306"/>
      </w:tabs>
      <w:snapToGrid w:val="0"/>
      <w:jc w:val="left"/>
    </w:pPr>
    <w:rPr>
      <w:sz w:val="18"/>
      <w:szCs w:val="18"/>
    </w:rPr>
  </w:style>
  <w:style w:type="paragraph" w:styleId="6">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semiHidden/>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uiPriority w:val="0"/>
  </w:style>
  <w:style w:type="character" w:styleId="13">
    <w:name w:val="Hyperlink"/>
    <w:uiPriority w:val="0"/>
    <w:rPr>
      <w:color w:val="0000FF"/>
      <w:u w:val="single"/>
    </w:rPr>
  </w:style>
  <w:style w:type="character" w:styleId="14">
    <w:name w:val="annotation reference"/>
    <w:semiHidden/>
    <w:uiPriority w:val="0"/>
    <w:rPr>
      <w:sz w:val="21"/>
      <w:szCs w:val="21"/>
    </w:rPr>
  </w:style>
  <w:style w:type="character" w:customStyle="1" w:styleId="15">
    <w:name w:val="标题 1 字符"/>
    <w:basedOn w:val="11"/>
    <w:link w:val="2"/>
    <w:uiPriority w:val="0"/>
    <w:rPr>
      <w:rFonts w:ascii="Calibri" w:hAnsi="Calibri" w:eastAsia="宋体" w:cs="Times New Roman"/>
      <w:b/>
      <w:bCs/>
      <w:kern w:val="44"/>
      <w:sz w:val="44"/>
      <w:szCs w:val="44"/>
    </w:rPr>
  </w:style>
  <w:style w:type="paragraph" w:customStyle="1" w:styleId="16">
    <w:name w:val="列出段落"/>
    <w:basedOn w:val="1"/>
    <w:qFormat/>
    <w:uiPriority w:val="0"/>
    <w:pPr>
      <w:ind w:firstLine="420" w:firstLineChars="200"/>
    </w:pPr>
    <w:rPr>
      <w:rFonts w:ascii="等线" w:hAnsi="等线" w:eastAsia="等线"/>
    </w:rPr>
  </w:style>
  <w:style w:type="character" w:customStyle="1" w:styleId="17">
    <w:name w:val="批注文字 字符"/>
    <w:basedOn w:val="11"/>
    <w:link w:val="3"/>
    <w:semiHidden/>
    <w:uiPriority w:val="0"/>
    <w:rPr>
      <w:rFonts w:ascii="Calibri" w:hAnsi="Calibri" w:eastAsia="宋体" w:cs="Times New Roman"/>
    </w:rPr>
  </w:style>
  <w:style w:type="character" w:customStyle="1" w:styleId="18">
    <w:name w:val="批注主题 字符"/>
    <w:basedOn w:val="17"/>
    <w:link w:val="8"/>
    <w:semiHidden/>
    <w:uiPriority w:val="0"/>
    <w:rPr>
      <w:rFonts w:ascii="Calibri" w:hAnsi="Calibri" w:eastAsia="宋体" w:cs="Times New Roman"/>
      <w:b/>
      <w:bCs/>
    </w:rPr>
  </w:style>
  <w:style w:type="character" w:customStyle="1" w:styleId="19">
    <w:name w:val="批注框文本 字符"/>
    <w:basedOn w:val="11"/>
    <w:link w:val="4"/>
    <w:semiHidden/>
    <w:uiPriority w:val="0"/>
    <w:rPr>
      <w:rFonts w:ascii="Calibri" w:hAnsi="Calibri" w:eastAsia="宋体" w:cs="Times New Roman"/>
      <w:sz w:val="18"/>
      <w:szCs w:val="18"/>
    </w:rPr>
  </w:style>
  <w:style w:type="paragraph" w:customStyle="1" w:styleId="20">
    <w:name w:val="列出段落1"/>
    <w:basedOn w:val="1"/>
    <w:uiPriority w:val="0"/>
    <w:pPr>
      <w:ind w:firstLine="420" w:firstLineChars="200"/>
    </w:pPr>
  </w:style>
  <w:style w:type="character" w:customStyle="1" w:styleId="21">
    <w:name w:val="页眉 字符"/>
    <w:basedOn w:val="11"/>
    <w:link w:val="6"/>
    <w:uiPriority w:val="0"/>
    <w:rPr>
      <w:rFonts w:ascii="Calibri" w:hAnsi="Calibri" w:eastAsia="宋体" w:cs="Times New Roman"/>
      <w:sz w:val="18"/>
      <w:szCs w:val="18"/>
    </w:rPr>
  </w:style>
  <w:style w:type="character" w:customStyle="1" w:styleId="22">
    <w:name w:val="页脚 字符"/>
    <w:basedOn w:val="11"/>
    <w:link w:val="5"/>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6972B-1E68-4020-8D07-2BF35FE7A1AE}">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1767</Words>
  <Characters>1788</Characters>
  <Lines>14</Lines>
  <Paragraphs>4</Paragraphs>
  <TotalTime>1</TotalTime>
  <ScaleCrop>false</ScaleCrop>
  <LinksUpToDate>false</LinksUpToDate>
  <CharactersWithSpaces>1793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2020-03-06T07:06:00Z</dcterms:created>
  <dc:creator>tai yuzhu</dc:creator>
  <cp:lastModifiedBy>。。。</cp:lastModifiedBy>
  <dcterms:modified xsi:type="dcterms:W3CDTF">2024-07-31T07:39:04Z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4C504A787ECE4B3787F4ABF4D889A7CB_12</vt:lpwstr>
  </property>
</Properties>
</file>